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Uppvidinge kommunfullmäktige</w:t>
      </w:r>
    </w:p>
    <w:p>
      <w:pPr>
        <w:pStyle w:val="Heading1"/>
      </w:pPr>
      <w:r>
        <w:t xml:space="preserve">Blandade boendeformer för ökad tillväxt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Uppvidinge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Uppvidinge har svårt att attrahera unga familjer och inflyttare på grund av begränsat bostadsutbud. Kommunens bostadsförsörjningsprogram 2023 pekar på behov av fler blandade upplåtelseformer.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Uppvidinge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att allmännyttan bygger minst 30 nya bostäder med blandade upplåtelseformer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förenkla planprocessen för småhusområden.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utreda behovet av seniorboenden i Lenhovda.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bostadsbyggandet årligen i kommunfullmäktige.</w:t>
      </w:r>
    </w:p>
    <w:p>
      <w:pPr>
        <w:spacing w:before="360"/>
      </w:pPr>
    </w:p>
    <w:p>
      <w:r>
        <w:t xml:space="preserve">Uppvidinge,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Uppvidinge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2026-07-14T05:32:04.360Z</dcterms:created>
  <dcterms:modified xsi:type="dcterms:W3CDTF">2026-07-14T05:32:04.360Z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